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600" w:lineRule="exact"/>
        <w:ind w:firstLine="0" w:firstLineChars="0"/>
        <w:jc w:val="center"/>
        <w:textAlignment w:val="auto"/>
        <w:rPr>
          <w:rFonts w:hint="eastAsia" w:ascii="小标宋" w:hAnsi="小标宋" w:eastAsia="小标宋" w:cs="小标宋"/>
          <w:color w:val="auto"/>
          <w:sz w:val="44"/>
          <w:szCs w:val="44"/>
          <w:lang w:bidi="ar-SA"/>
        </w:rPr>
      </w:pPr>
      <w:r>
        <w:rPr>
          <w:rFonts w:hint="eastAsia" w:ascii="小标宋" w:hAnsi="小标宋" w:eastAsia="小标宋" w:cs="小标宋"/>
          <w:color w:val="auto"/>
          <w:sz w:val="44"/>
          <w:szCs w:val="44"/>
          <w:lang w:bidi="ar-SA"/>
        </w:rPr>
        <w:t>广东省综合评标评审专家库房屋建筑和</w:t>
      </w:r>
    </w:p>
    <w:p>
      <w:pPr>
        <w:keepNext w:val="0"/>
        <w:keepLines w:val="0"/>
        <w:pageBreakBefore w:val="0"/>
        <w:kinsoku/>
        <w:overflowPunct/>
        <w:topLinePunct w:val="0"/>
        <w:autoSpaceDE/>
        <w:autoSpaceDN/>
        <w:bidi w:val="0"/>
        <w:adjustRightInd/>
        <w:snapToGrid/>
        <w:spacing w:line="600" w:lineRule="exact"/>
        <w:ind w:firstLine="0" w:firstLineChars="0"/>
        <w:jc w:val="center"/>
        <w:textAlignment w:val="auto"/>
        <w:rPr>
          <w:rFonts w:hint="eastAsia" w:ascii="小标宋" w:hAnsi="小标宋" w:eastAsia="小标宋" w:cs="小标宋"/>
          <w:color w:val="auto"/>
          <w:sz w:val="44"/>
          <w:szCs w:val="44"/>
          <w:lang w:bidi="ar-SA"/>
        </w:rPr>
      </w:pPr>
      <w:r>
        <w:rPr>
          <w:rFonts w:hint="eastAsia" w:ascii="小标宋" w:hAnsi="小标宋" w:eastAsia="小标宋" w:cs="小标宋"/>
          <w:color w:val="auto"/>
          <w:sz w:val="44"/>
          <w:szCs w:val="44"/>
          <w:lang w:bidi="ar-SA"/>
        </w:rPr>
        <w:t>市政基础设施工程类专业专家入库</w:t>
      </w:r>
    </w:p>
    <w:p>
      <w:pPr>
        <w:keepNext w:val="0"/>
        <w:keepLines w:val="0"/>
        <w:pageBreakBefore w:val="0"/>
        <w:kinsoku/>
        <w:overflowPunct/>
        <w:topLinePunct w:val="0"/>
        <w:autoSpaceDE/>
        <w:autoSpaceDN/>
        <w:bidi w:val="0"/>
        <w:adjustRightInd/>
        <w:snapToGrid/>
        <w:spacing w:line="600" w:lineRule="exact"/>
        <w:ind w:firstLine="0" w:firstLineChars="0"/>
        <w:jc w:val="center"/>
        <w:textAlignment w:val="auto"/>
        <w:rPr>
          <w:rFonts w:hint="eastAsia" w:ascii="小标宋" w:hAnsi="小标宋" w:eastAsia="小标宋" w:cs="小标宋"/>
          <w:color w:val="auto"/>
          <w:sz w:val="44"/>
          <w:szCs w:val="44"/>
          <w:lang w:eastAsia="zh-CN" w:bidi="ar-SA"/>
        </w:rPr>
      </w:pPr>
      <w:r>
        <w:rPr>
          <w:rFonts w:hint="eastAsia" w:ascii="小标宋" w:hAnsi="小标宋" w:eastAsia="小标宋" w:cs="小标宋"/>
          <w:color w:val="auto"/>
          <w:sz w:val="44"/>
          <w:szCs w:val="44"/>
          <w:lang w:eastAsia="zh-CN" w:bidi="ar-SA"/>
        </w:rPr>
        <w:t>终审标准（征求意见稿）</w:t>
      </w:r>
    </w:p>
    <w:p>
      <w:pPr>
        <w:keepNext w:val="0"/>
        <w:keepLines w:val="0"/>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color w:val="auto"/>
          <w:sz w:val="32"/>
          <w:szCs w:val="32"/>
          <w:lang w:bidi="ar-SA"/>
        </w:rPr>
      </w:pPr>
    </w:p>
    <w:p>
      <w:pPr>
        <w:keepNext w:val="0"/>
        <w:keepLines w:val="0"/>
        <w:pageBreakBefore w:val="0"/>
        <w:kinsoku/>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color w:val="auto"/>
          <w:sz w:val="32"/>
          <w:szCs w:val="32"/>
          <w:lang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一</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color w:val="auto"/>
          <w:sz w:val="32"/>
          <w:szCs w:val="32"/>
          <w:lang w:val="en-US" w:eastAsia="zh-CN" w:bidi="ar-SA"/>
        </w:rPr>
        <w:t>按照</w:t>
      </w:r>
      <w:r>
        <w:rPr>
          <w:rFonts w:hint="eastAsia" w:ascii="仿宋_GB2312" w:hAnsi="仿宋_GB2312" w:eastAsia="仿宋_GB2312" w:cs="仿宋_GB2312"/>
          <w:color w:val="auto"/>
          <w:sz w:val="32"/>
          <w:szCs w:val="32"/>
          <w:lang w:eastAsia="zh-CN" w:bidi="ar-SA"/>
        </w:rPr>
        <w:t>《关于印发广东省综合评标评审专家库入库相关工作指南的通知》（粤政数函〔</w:t>
      </w:r>
      <w:r>
        <w:rPr>
          <w:rFonts w:hint="eastAsia" w:ascii="仿宋_GB2312" w:hAnsi="仿宋_GB2312" w:eastAsia="仿宋_GB2312" w:cs="仿宋_GB2312"/>
          <w:color w:val="auto"/>
          <w:sz w:val="32"/>
          <w:szCs w:val="32"/>
          <w:lang w:val="en-US" w:eastAsia="zh-CN" w:bidi="ar-SA"/>
        </w:rPr>
        <w:t>2023〕901号</w:t>
      </w:r>
      <w:r>
        <w:rPr>
          <w:rFonts w:hint="eastAsia" w:ascii="仿宋_GB2312" w:hAnsi="仿宋_GB2312" w:eastAsia="仿宋_GB2312" w:cs="仿宋_GB2312"/>
          <w:color w:val="auto"/>
          <w:sz w:val="32"/>
          <w:szCs w:val="32"/>
          <w:lang w:eastAsia="zh-CN" w:bidi="ar-SA"/>
        </w:rPr>
        <w:t>）关于“省行政监督部门应制定本行业专家入库终审标准”的要求，</w:t>
      </w:r>
      <w:r>
        <w:rPr>
          <w:rFonts w:hint="eastAsia" w:ascii="仿宋_GB2312" w:hAnsi="仿宋_GB2312" w:eastAsia="仿宋_GB2312" w:cs="仿宋_GB2312"/>
          <w:color w:val="auto"/>
          <w:sz w:val="32"/>
          <w:szCs w:val="32"/>
          <w:lang w:bidi="ar-SA"/>
        </w:rPr>
        <w:t>为规范</w:t>
      </w:r>
      <w:r>
        <w:rPr>
          <w:rFonts w:hint="eastAsia" w:ascii="仿宋_GB2312" w:hAnsi="仿宋_GB2312" w:eastAsia="仿宋_GB2312" w:cs="仿宋_GB2312"/>
          <w:color w:val="auto"/>
          <w:sz w:val="32"/>
          <w:szCs w:val="32"/>
          <w:lang w:eastAsia="zh-CN" w:bidi="ar-SA"/>
        </w:rPr>
        <w:t>广东省综合评标评审专家库中归口省住房城乡建设厅管理专业的</w:t>
      </w:r>
      <w:r>
        <w:rPr>
          <w:rFonts w:hint="eastAsia" w:ascii="仿宋_GB2312" w:hAnsi="仿宋_GB2312" w:eastAsia="仿宋_GB2312" w:cs="仿宋_GB2312"/>
          <w:color w:val="auto"/>
          <w:sz w:val="32"/>
          <w:szCs w:val="32"/>
          <w:lang w:bidi="ar-SA"/>
        </w:rPr>
        <w:t>专家入库</w:t>
      </w:r>
      <w:r>
        <w:rPr>
          <w:rFonts w:hint="eastAsia" w:ascii="仿宋_GB2312" w:hAnsi="仿宋_GB2312" w:eastAsia="仿宋_GB2312" w:cs="仿宋_GB2312"/>
          <w:color w:val="auto"/>
          <w:sz w:val="32"/>
          <w:szCs w:val="32"/>
          <w:lang w:eastAsia="zh-CN" w:bidi="ar-SA"/>
        </w:rPr>
        <w:t>、专业变更、续聘的审核</w:t>
      </w:r>
      <w:r>
        <w:rPr>
          <w:rFonts w:hint="eastAsia" w:ascii="仿宋_GB2312" w:hAnsi="仿宋_GB2312" w:eastAsia="仿宋_GB2312" w:cs="仿宋_GB2312"/>
          <w:color w:val="auto"/>
          <w:sz w:val="32"/>
          <w:szCs w:val="32"/>
          <w:lang w:bidi="ar-SA"/>
        </w:rPr>
        <w:t>工作</w:t>
      </w:r>
      <w:r>
        <w:rPr>
          <w:rFonts w:hint="eastAsia" w:ascii="仿宋_GB2312" w:hAnsi="仿宋_GB2312" w:eastAsia="仿宋_GB2312" w:cs="仿宋_GB2312"/>
          <w:color w:val="auto"/>
          <w:sz w:val="32"/>
          <w:szCs w:val="32"/>
          <w:lang w:eastAsia="zh-CN" w:bidi="ar-SA"/>
        </w:rPr>
        <w:t>，细化明确房屋建筑和市政基础设施工程类评标评审专家入库终审标准，提升入库专家整体</w:t>
      </w:r>
      <w:r>
        <w:rPr>
          <w:rFonts w:hint="eastAsia" w:ascii="仿宋_GB2312" w:hAnsi="仿宋_GB2312" w:eastAsia="仿宋_GB2312" w:cs="仿宋_GB2312"/>
          <w:color w:val="auto"/>
          <w:sz w:val="32"/>
          <w:szCs w:val="32"/>
          <w:shd w:val="clear" w:color="auto" w:fill="auto"/>
          <w:lang w:eastAsia="zh-CN" w:bidi="ar-SA"/>
        </w:rPr>
        <w:t>素质</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color w:val="auto"/>
          <w:sz w:val="32"/>
          <w:szCs w:val="32"/>
          <w:lang w:val="en-US" w:eastAsia="zh-CN" w:bidi="ar-SA"/>
        </w:rPr>
        <w:t>支持招标人组建与招标内容、项目特点匹配的评标委员会，更好发挥专家作用，</w:t>
      </w:r>
      <w:r>
        <w:rPr>
          <w:rFonts w:hint="eastAsia" w:ascii="仿宋_GB2312" w:hAnsi="仿宋_GB2312" w:eastAsia="仿宋_GB2312" w:cs="仿宋_GB2312"/>
          <w:color w:val="auto"/>
          <w:sz w:val="32"/>
          <w:szCs w:val="32"/>
          <w:lang w:bidi="ar-SA"/>
        </w:rPr>
        <w:t>根据《</w:t>
      </w:r>
      <w:r>
        <w:rPr>
          <w:rFonts w:hint="eastAsia" w:ascii="仿宋_GB2312" w:hAnsi="仿宋_GB2312" w:eastAsia="仿宋_GB2312" w:cs="仿宋_GB2312"/>
          <w:b w:val="0"/>
          <w:color w:val="auto"/>
          <w:sz w:val="32"/>
          <w:szCs w:val="32"/>
          <w:lang w:bidi="ar-SA"/>
        </w:rPr>
        <w:t>广东省综合评标评审专家和评标评审专家库管理办法</w:t>
      </w:r>
      <w:r>
        <w:rPr>
          <w:rFonts w:hint="eastAsia" w:ascii="仿宋_GB2312" w:hAnsi="仿宋_GB2312" w:eastAsia="仿宋_GB2312" w:cs="仿宋_GB2312"/>
          <w:color w:val="auto"/>
          <w:sz w:val="32"/>
          <w:szCs w:val="32"/>
          <w:lang w:bidi="ar-SA"/>
        </w:rPr>
        <w:t>》（粤府办〔2020〕1号）</w:t>
      </w:r>
      <w:r>
        <w:rPr>
          <w:rFonts w:hint="eastAsia" w:ascii="仿宋_GB2312" w:hAnsi="仿宋_GB2312" w:eastAsia="仿宋_GB2312" w:cs="仿宋_GB2312"/>
          <w:color w:val="auto"/>
          <w:sz w:val="32"/>
          <w:szCs w:val="32"/>
          <w:lang w:eastAsia="zh-CN" w:bidi="ar-SA"/>
        </w:rPr>
        <w:t>、</w:t>
      </w:r>
      <w:r>
        <w:rPr>
          <w:rFonts w:hint="eastAsia" w:ascii="仿宋_GB2312" w:hAnsi="仿宋_GB2312" w:eastAsia="仿宋_GB2312" w:cs="仿宋_GB2312"/>
          <w:b w:val="0"/>
          <w:bCs w:val="0"/>
          <w:color w:val="auto"/>
          <w:sz w:val="32"/>
          <w:szCs w:val="32"/>
          <w:lang w:eastAsia="zh-CN" w:bidi="ar-SA"/>
        </w:rPr>
        <w:t>《广东省综合评标评审专家库专家的考评办法》（粤发改规〔</w:t>
      </w:r>
      <w:r>
        <w:rPr>
          <w:rFonts w:hint="eastAsia" w:ascii="仿宋_GB2312" w:hAnsi="仿宋_GB2312" w:eastAsia="仿宋_GB2312" w:cs="仿宋_GB2312"/>
          <w:b w:val="0"/>
          <w:bCs w:val="0"/>
          <w:color w:val="auto"/>
          <w:sz w:val="32"/>
          <w:szCs w:val="32"/>
          <w:lang w:val="en-US" w:eastAsia="zh-CN" w:bidi="ar-SA"/>
        </w:rPr>
        <w:t>2021〕1号</w:t>
      </w:r>
      <w:r>
        <w:rPr>
          <w:rFonts w:hint="eastAsia" w:ascii="仿宋_GB2312" w:hAnsi="仿宋_GB2312" w:eastAsia="仿宋_GB2312" w:cs="仿宋_GB2312"/>
          <w:b w:val="0"/>
          <w:bCs w:val="0"/>
          <w:color w:val="auto"/>
          <w:sz w:val="32"/>
          <w:szCs w:val="32"/>
          <w:lang w:eastAsia="zh-CN" w:bidi="ar-SA"/>
        </w:rPr>
        <w:t>）</w:t>
      </w:r>
      <w:r>
        <w:rPr>
          <w:rFonts w:hint="eastAsia" w:ascii="仿宋_GB2312" w:hAnsi="仿宋_GB2312" w:eastAsia="仿宋_GB2312" w:cs="仿宋_GB2312"/>
          <w:color w:val="auto"/>
          <w:sz w:val="32"/>
          <w:szCs w:val="32"/>
          <w:lang w:eastAsia="zh-CN" w:bidi="ar-SA"/>
        </w:rPr>
        <w:t>有关规定</w:t>
      </w:r>
      <w:r>
        <w:rPr>
          <w:rFonts w:hint="eastAsia" w:ascii="仿宋_GB2312" w:hAnsi="仿宋_GB2312" w:eastAsia="仿宋_GB2312" w:cs="仿宋_GB2312"/>
          <w:color w:val="auto"/>
          <w:sz w:val="32"/>
          <w:szCs w:val="32"/>
          <w:lang w:bidi="ar-SA"/>
        </w:rPr>
        <w:t>，制定</w:t>
      </w:r>
      <w:r>
        <w:rPr>
          <w:rFonts w:hint="eastAsia" w:ascii="仿宋_GB2312" w:hAnsi="仿宋_GB2312" w:eastAsia="仿宋_GB2312" w:cs="仿宋_GB2312"/>
          <w:color w:val="auto"/>
          <w:sz w:val="32"/>
          <w:szCs w:val="32"/>
          <w:lang w:eastAsia="zh-CN" w:bidi="ar-SA"/>
        </w:rPr>
        <w:t>本终审标准</w:t>
      </w:r>
      <w:r>
        <w:rPr>
          <w:rFonts w:hint="eastAsia" w:ascii="仿宋_GB2312" w:hAnsi="仿宋_GB2312" w:eastAsia="仿宋_GB2312" w:cs="仿宋_GB2312"/>
          <w:color w:val="auto"/>
          <w:sz w:val="32"/>
          <w:szCs w:val="32"/>
          <w:lang w:bidi="ar-SA"/>
        </w:rPr>
        <w:t>。</w:t>
      </w:r>
    </w:p>
    <w:p>
      <w:pPr>
        <w:keepNext w:val="0"/>
        <w:keepLines w:val="0"/>
        <w:pageBreakBefore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二</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color w:val="auto"/>
          <w:sz w:val="32"/>
          <w:szCs w:val="32"/>
          <w:lang w:bidi="ar-SA"/>
        </w:rPr>
        <w:t xml:space="preserve"> </w:t>
      </w:r>
      <w:r>
        <w:rPr>
          <w:rFonts w:hint="eastAsia" w:ascii="仿宋_GB2312" w:hAnsi="仿宋_GB2312" w:eastAsia="仿宋_GB2312" w:cs="仿宋_GB2312"/>
          <w:color w:val="auto"/>
          <w:sz w:val="32"/>
          <w:szCs w:val="32"/>
          <w:lang w:eastAsia="zh-CN" w:bidi="ar-SA"/>
        </w:rPr>
        <w:t>省住房城乡建设厅对</w:t>
      </w:r>
      <w:r>
        <w:rPr>
          <w:rFonts w:hint="eastAsia" w:ascii="仿宋_GB2312" w:hAnsi="仿宋_GB2312" w:eastAsia="仿宋_GB2312" w:cs="仿宋_GB2312"/>
          <w:color w:val="auto"/>
          <w:sz w:val="32"/>
          <w:szCs w:val="32"/>
          <w:lang w:bidi="ar-SA"/>
        </w:rPr>
        <w:t>广东省综合评标评审专家库</w:t>
      </w:r>
      <w:r>
        <w:rPr>
          <w:rFonts w:hint="eastAsia" w:ascii="仿宋_GB2312" w:hAnsi="仿宋_GB2312" w:eastAsia="仿宋_GB2312" w:cs="仿宋_GB2312"/>
          <w:color w:val="auto"/>
          <w:sz w:val="32"/>
          <w:szCs w:val="32"/>
          <w:lang w:eastAsia="zh-CN" w:bidi="ar-SA"/>
        </w:rPr>
        <w:t>（简称省专家库）中属于房屋建筑和市政基础设施工程（简称房屋市政工程）类的</w:t>
      </w:r>
      <w:r>
        <w:rPr>
          <w:rFonts w:hint="eastAsia" w:ascii="仿宋_GB2312" w:hAnsi="仿宋_GB2312" w:eastAsia="仿宋_GB2312" w:cs="仿宋_GB2312"/>
          <w:color w:val="auto"/>
          <w:sz w:val="32"/>
          <w:szCs w:val="32"/>
          <w:lang w:val="en-US" w:eastAsia="zh-CN" w:bidi="ar-SA"/>
        </w:rPr>
        <w:t>评标评审专业进行归口管理。</w:t>
      </w:r>
      <w:r>
        <w:rPr>
          <w:rFonts w:hint="eastAsia" w:ascii="仿宋_GB2312" w:hAnsi="仿宋_GB2312" w:eastAsia="仿宋_GB2312" w:cs="仿宋_GB2312"/>
          <w:color w:val="auto"/>
          <w:sz w:val="32"/>
          <w:szCs w:val="32"/>
          <w:lang w:eastAsia="zh-CN" w:bidi="ar-SA"/>
        </w:rPr>
        <w:t>省专家库</w:t>
      </w:r>
      <w:r>
        <w:rPr>
          <w:rFonts w:hint="eastAsia" w:ascii="仿宋_GB2312" w:hAnsi="仿宋_GB2312" w:eastAsia="仿宋_GB2312" w:cs="仿宋_GB2312"/>
          <w:color w:val="auto"/>
          <w:sz w:val="32"/>
          <w:szCs w:val="32"/>
          <w:lang w:bidi="ar-SA"/>
        </w:rPr>
        <w:t>归口省住房城乡建设厅管理专业</w:t>
      </w:r>
      <w:r>
        <w:rPr>
          <w:rFonts w:hint="eastAsia" w:ascii="仿宋_GB2312" w:hAnsi="仿宋_GB2312" w:eastAsia="仿宋_GB2312" w:cs="仿宋_GB2312"/>
          <w:color w:val="auto"/>
          <w:sz w:val="32"/>
          <w:szCs w:val="32"/>
          <w:lang w:eastAsia="zh-CN" w:bidi="ar-SA"/>
        </w:rPr>
        <w:t>的</w:t>
      </w:r>
      <w:r>
        <w:rPr>
          <w:rFonts w:hint="eastAsia" w:ascii="仿宋_GB2312" w:hAnsi="仿宋_GB2312" w:eastAsia="仿宋_GB2312" w:cs="仿宋_GB2312"/>
          <w:color w:val="auto"/>
          <w:sz w:val="32"/>
          <w:szCs w:val="32"/>
          <w:lang w:bidi="ar-SA"/>
        </w:rPr>
        <w:t>专家入库</w:t>
      </w:r>
      <w:r>
        <w:rPr>
          <w:rFonts w:hint="eastAsia" w:ascii="仿宋_GB2312" w:hAnsi="仿宋_GB2312" w:eastAsia="仿宋_GB2312" w:cs="仿宋_GB2312"/>
          <w:color w:val="auto"/>
          <w:sz w:val="32"/>
          <w:szCs w:val="32"/>
          <w:lang w:eastAsia="zh-CN" w:bidi="ar-SA"/>
        </w:rPr>
        <w:t>、专业变更、续聘的终审，</w:t>
      </w:r>
      <w:r>
        <w:rPr>
          <w:rFonts w:hint="eastAsia" w:ascii="仿宋_GB2312" w:hAnsi="仿宋_GB2312" w:eastAsia="仿宋_GB2312" w:cs="仿宋_GB2312"/>
          <w:color w:val="auto"/>
          <w:sz w:val="32"/>
          <w:szCs w:val="32"/>
          <w:lang w:val="en-US" w:eastAsia="zh-CN" w:bidi="ar-SA"/>
        </w:rPr>
        <w:t>适用</w:t>
      </w:r>
      <w:r>
        <w:rPr>
          <w:rFonts w:hint="eastAsia" w:ascii="仿宋_GB2312" w:hAnsi="仿宋_GB2312" w:eastAsia="仿宋_GB2312" w:cs="仿宋_GB2312"/>
          <w:color w:val="auto"/>
          <w:sz w:val="32"/>
          <w:szCs w:val="32"/>
          <w:lang w:eastAsia="zh-CN" w:bidi="ar-SA"/>
        </w:rPr>
        <w:t>本终审标准。</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三</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入选省专家库的房屋市政工程类评标评审专家，应具备“从事相关专业领域工作满8年并且具有高级专业技术职称或者同等专业水平”。</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前款所称“从事相关专业领域工作”，是指从事房屋市政工程领域相关工作，具体指就职于</w:t>
      </w:r>
      <w:r>
        <w:rPr>
          <w:rFonts w:hint="eastAsia" w:ascii="仿宋_GB2312" w:hAnsi="仿宋_GB2312" w:eastAsia="仿宋_GB2312" w:cs="仿宋_GB2312"/>
          <w:bCs/>
          <w:color w:val="auto"/>
          <w:sz w:val="32"/>
          <w:szCs w:val="32"/>
          <w:highlight w:val="none"/>
          <w:lang w:val="en-US" w:eastAsia="zh-CN" w:bidi="ar-SA"/>
        </w:rPr>
        <w:t>具有</w:t>
      </w:r>
      <w:r>
        <w:rPr>
          <w:rFonts w:hint="eastAsia" w:ascii="仿宋_GB2312" w:hAnsi="仿宋_GB2312" w:eastAsia="仿宋_GB2312" w:cs="仿宋_GB2312"/>
          <w:b w:val="0"/>
          <w:bCs/>
          <w:color w:val="auto"/>
          <w:sz w:val="32"/>
          <w:szCs w:val="32"/>
          <w:highlight w:val="none"/>
          <w:lang w:val="en-US" w:eastAsia="zh-CN" w:bidi="ar-SA"/>
        </w:rPr>
        <w:t>勘察、设计、监理、施工资质的单位，按有关规定开展施工图审查、工程造价咨询等业务的单位，房屋市政工程项目的建设单位，或者参与房屋市政工程项目建设管理的财政投资评审中心等相关业务单位，并具体从事房屋市政工程项目技术或管理等相关工作。</w:t>
      </w:r>
      <w:r>
        <w:rPr>
          <w:rFonts w:hint="eastAsia" w:ascii="仿宋_GB2312" w:hAnsi="仿宋_GB2312" w:eastAsia="仿宋_GB2312" w:cs="仿宋_GB2312"/>
          <w:b w:val="0"/>
          <w:bCs/>
          <w:color w:val="auto"/>
          <w:sz w:val="32"/>
          <w:szCs w:val="32"/>
          <w:lang w:val="en-US" w:eastAsia="zh-CN" w:bidi="ar-SA"/>
        </w:rPr>
        <w:t>“从事相关专业领域工作满8年”，</w:t>
      </w:r>
      <w:r>
        <w:rPr>
          <w:rFonts w:hint="eastAsia" w:ascii="仿宋_GB2312" w:hAnsi="仿宋_GB2312" w:eastAsia="仿宋_GB2312" w:cs="仿宋_GB2312"/>
          <w:bCs/>
          <w:color w:val="auto"/>
          <w:sz w:val="32"/>
          <w:szCs w:val="32"/>
          <w:lang w:eastAsia="zh-CN" w:bidi="ar-SA"/>
        </w:rPr>
        <w:t>是指从事房屋市政工程领域相关工作满</w:t>
      </w:r>
      <w:r>
        <w:rPr>
          <w:rFonts w:hint="eastAsia" w:ascii="仿宋_GB2312" w:hAnsi="仿宋_GB2312" w:eastAsia="仿宋_GB2312" w:cs="仿宋_GB2312"/>
          <w:bCs/>
          <w:color w:val="auto"/>
          <w:sz w:val="32"/>
          <w:szCs w:val="32"/>
          <w:lang w:val="en-US" w:eastAsia="zh-CN" w:bidi="ar-SA"/>
        </w:rPr>
        <w:t>8年，且原则上</w:t>
      </w:r>
      <w:r>
        <w:rPr>
          <w:rFonts w:hint="eastAsia" w:ascii="仿宋_GB2312" w:hAnsi="仿宋_GB2312" w:eastAsia="仿宋_GB2312" w:cs="仿宋_GB2312"/>
          <w:bCs/>
          <w:color w:val="auto"/>
          <w:sz w:val="32"/>
          <w:szCs w:val="32"/>
          <w:lang w:eastAsia="zh-CN" w:bidi="ar-SA"/>
        </w:rPr>
        <w:t>申请入库、评标专业变更、续聘时脱离相关领域工作的时间不超过</w:t>
      </w:r>
      <w:r>
        <w:rPr>
          <w:rFonts w:hint="eastAsia" w:ascii="仿宋_GB2312" w:hAnsi="仿宋_GB2312" w:eastAsia="仿宋_GB2312" w:cs="仿宋_GB2312"/>
          <w:bCs/>
          <w:color w:val="auto"/>
          <w:sz w:val="32"/>
          <w:szCs w:val="32"/>
          <w:lang w:val="en-US" w:eastAsia="zh-CN" w:bidi="ar-SA"/>
        </w:rPr>
        <w:t>3年。</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bCs/>
          <w:color w:val="auto"/>
          <w:sz w:val="32"/>
          <w:szCs w:val="32"/>
          <w:lang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四</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val="0"/>
          <w:color w:val="auto"/>
          <w:sz w:val="32"/>
          <w:szCs w:val="32"/>
          <w:lang w:val="en-US" w:eastAsia="zh-CN" w:bidi="ar-SA"/>
        </w:rPr>
        <w:t>省综合评标评审专家库中</w:t>
      </w:r>
      <w:r>
        <w:rPr>
          <w:rFonts w:hint="eastAsia" w:ascii="仿宋_GB2312" w:hAnsi="仿宋_GB2312" w:eastAsia="仿宋_GB2312" w:cs="仿宋_GB2312"/>
          <w:b w:val="0"/>
          <w:bCs w:val="0"/>
          <w:color w:val="auto"/>
          <w:sz w:val="32"/>
          <w:szCs w:val="32"/>
          <w:lang w:eastAsia="zh-CN" w:bidi="ar-SA"/>
        </w:rPr>
        <w:t>房屋市政工程类评标评审专业有</w:t>
      </w:r>
      <w:r>
        <w:rPr>
          <w:rFonts w:hint="eastAsia" w:ascii="仿宋_GB2312" w:hAnsi="仿宋_GB2312" w:eastAsia="仿宋_GB2312" w:cs="仿宋_GB2312"/>
          <w:b w:val="0"/>
          <w:bCs w:val="0"/>
          <w:color w:val="auto"/>
          <w:sz w:val="32"/>
          <w:szCs w:val="32"/>
          <w:lang w:val="en-US" w:eastAsia="zh-CN" w:bidi="ar-SA"/>
        </w:rPr>
        <w:t>勘察、设计、监理、工程造价、工程施工等5个一级类别，一级类别下分若干个二级类别，二级类别下再分若干个三级类别（具体以省综合评标评审专家库管理系统为准）。一名申请人原则上只能申请同一一级类别下的若干三级类别评标评审专</w:t>
      </w:r>
      <w:r>
        <w:rPr>
          <w:rFonts w:hint="eastAsia" w:ascii="仿宋_GB2312" w:hAnsi="仿宋_GB2312" w:eastAsia="仿宋_GB2312" w:cs="仿宋_GB2312"/>
          <w:b w:val="0"/>
          <w:bCs/>
          <w:color w:val="auto"/>
          <w:sz w:val="32"/>
          <w:szCs w:val="32"/>
          <w:lang w:val="en-US" w:eastAsia="zh-CN" w:bidi="ar-SA"/>
        </w:rPr>
        <w:t>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outlineLvl w:val="9"/>
        <w:rPr>
          <w:rFonts w:hint="default" w:ascii="仿宋_GB2312" w:hAnsi="仿宋_GB2312" w:eastAsia="仿宋_GB2312" w:cs="仿宋_GB2312"/>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五</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申请人</w:t>
      </w:r>
      <w:r>
        <w:rPr>
          <w:rFonts w:hint="eastAsia" w:ascii="仿宋_GB2312" w:hAnsi="仿宋_GB2312" w:eastAsia="仿宋_GB2312" w:cs="仿宋_GB2312"/>
          <w:b w:val="0"/>
          <w:bCs/>
          <w:color w:val="auto"/>
          <w:sz w:val="32"/>
          <w:szCs w:val="32"/>
          <w:lang w:eastAsia="zh-CN" w:bidi="ar-SA"/>
        </w:rPr>
        <w:t>的</w:t>
      </w:r>
      <w:r>
        <w:rPr>
          <w:rFonts w:hint="eastAsia" w:ascii="仿宋_GB2312" w:hAnsi="仿宋_GB2312" w:eastAsia="仿宋_GB2312" w:cs="仿宋_GB2312"/>
          <w:bCs/>
          <w:color w:val="auto"/>
          <w:sz w:val="32"/>
          <w:szCs w:val="32"/>
          <w:lang w:bidi="ar-SA"/>
        </w:rPr>
        <w:t>专业技术职称或</w:t>
      </w:r>
      <w:r>
        <w:rPr>
          <w:rFonts w:hint="eastAsia" w:ascii="仿宋_GB2312" w:hAnsi="仿宋_GB2312" w:eastAsia="仿宋_GB2312" w:cs="仿宋_GB2312"/>
          <w:bCs/>
          <w:color w:val="auto"/>
          <w:sz w:val="32"/>
          <w:szCs w:val="32"/>
          <w:lang w:eastAsia="zh-CN" w:bidi="ar-SA"/>
        </w:rPr>
        <w:t>工程建设行业相关注册执业资格证书所载专业，应与所申请专业相一致或密切相关。</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val="en-US" w:eastAsia="zh-CN" w:bidi="ar-SA"/>
        </w:rPr>
        <w:t xml:space="preserve">第六条  </w:t>
      </w:r>
      <w:r>
        <w:rPr>
          <w:rFonts w:hint="eastAsia" w:ascii="仿宋_GB2312" w:hAnsi="仿宋_GB2312" w:eastAsia="仿宋_GB2312" w:cs="仿宋_GB2312"/>
          <w:b w:val="0"/>
          <w:bCs/>
          <w:color w:val="auto"/>
          <w:sz w:val="32"/>
          <w:szCs w:val="32"/>
          <w:lang w:val="en-US" w:eastAsia="zh-CN" w:bidi="ar-SA"/>
        </w:rPr>
        <w:t>从事勘察、设计或施工图设计文件审查工作的可以申请勘察、设计类评标评审专业。从事工程施工现场生产、安全、质量、技术、监理等管理工作的可以申请工程施工、监理类评标评审专业。从事工程造价工作的可以申请工程造价类评标评审专业。</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七</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eastAsia="zh-CN" w:bidi="ar-SA"/>
        </w:rPr>
        <w:t>相关</w:t>
      </w:r>
      <w:r>
        <w:rPr>
          <w:rFonts w:hint="eastAsia" w:ascii="仿宋_GB2312" w:hAnsi="仿宋_GB2312" w:eastAsia="仿宋_GB2312" w:cs="仿宋_GB2312"/>
          <w:b w:val="0"/>
          <w:bCs/>
          <w:color w:val="auto"/>
          <w:sz w:val="32"/>
          <w:szCs w:val="32"/>
          <w:lang w:val="en-US" w:eastAsia="zh-CN" w:bidi="ar-SA"/>
        </w:rPr>
        <w:t>从业经历证明，应能真实有效的反映申请人从事相关领域工作。从业经历证明材料主要包括：</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yellow"/>
          <w:lang w:val="en-US" w:eastAsia="zh-CN" w:bidi="ar-SA"/>
        </w:rPr>
      </w:pPr>
      <w:r>
        <w:rPr>
          <w:rFonts w:hint="eastAsia" w:ascii="仿宋_GB2312" w:hAnsi="仿宋_GB2312" w:eastAsia="仿宋_GB2312" w:cs="仿宋_GB2312"/>
          <w:b w:val="0"/>
          <w:bCs/>
          <w:color w:val="auto"/>
          <w:sz w:val="32"/>
          <w:szCs w:val="32"/>
          <w:lang w:val="en-US" w:eastAsia="zh-CN" w:bidi="ar-SA"/>
        </w:rPr>
        <w:t>（一）劳动（聘用）合同、职务任命书（如有）。劳动（聘用）合同要有聘用单位与申请人的签字盖章、工作岗位（或工作内容）和工作期限等内容。在现聘用单位从事相关专业领域工作不足8年的，还需提供过往就职相关单位的劳动合同、任命书（如有）。</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（二）社保缴费证明。社保缴费证明所载的缴费年限、时间段需与申请者在相关业务单位</w:t>
      </w:r>
      <w:r>
        <w:rPr>
          <w:rFonts w:hint="eastAsia" w:ascii="仿宋_GB2312" w:hAnsi="仿宋_GB2312" w:eastAsia="仿宋_GB2312" w:cs="仿宋_GB2312"/>
          <w:b w:val="0"/>
          <w:bCs/>
          <w:color w:val="auto"/>
          <w:sz w:val="32"/>
          <w:szCs w:val="32"/>
          <w:lang w:bidi="ar-SA"/>
        </w:rPr>
        <w:t>从事</w:t>
      </w:r>
      <w:r>
        <w:rPr>
          <w:rFonts w:hint="eastAsia" w:ascii="仿宋_GB2312" w:hAnsi="仿宋_GB2312" w:eastAsia="仿宋_GB2312" w:cs="仿宋_GB2312"/>
          <w:b w:val="0"/>
          <w:bCs/>
          <w:color w:val="auto"/>
          <w:sz w:val="32"/>
          <w:szCs w:val="32"/>
          <w:lang w:eastAsia="zh-CN" w:bidi="ar-SA"/>
        </w:rPr>
        <w:t>所申请专业</w:t>
      </w:r>
      <w:r>
        <w:rPr>
          <w:rFonts w:hint="eastAsia" w:ascii="仿宋_GB2312" w:hAnsi="仿宋_GB2312" w:eastAsia="仿宋_GB2312" w:cs="仿宋_GB2312"/>
          <w:b w:val="0"/>
          <w:bCs/>
          <w:color w:val="auto"/>
          <w:sz w:val="32"/>
          <w:szCs w:val="32"/>
          <w:lang w:bidi="ar-SA"/>
        </w:rPr>
        <w:t>相关领域</w:t>
      </w:r>
      <w:r>
        <w:rPr>
          <w:rFonts w:hint="eastAsia" w:ascii="仿宋_GB2312" w:hAnsi="仿宋_GB2312" w:eastAsia="仿宋_GB2312" w:cs="仿宋_GB2312"/>
          <w:b w:val="0"/>
          <w:bCs/>
          <w:color w:val="auto"/>
          <w:sz w:val="32"/>
          <w:szCs w:val="32"/>
          <w:lang w:eastAsia="zh-CN" w:bidi="ar-SA"/>
        </w:rPr>
        <w:t>工作年限、时间保持一致或符合相关规定</w:t>
      </w:r>
      <w:r>
        <w:rPr>
          <w:rFonts w:hint="eastAsia" w:ascii="仿宋_GB2312" w:hAnsi="仿宋_GB2312" w:eastAsia="仿宋_GB2312" w:cs="仿宋_GB2312"/>
          <w:b w:val="0"/>
          <w:bCs/>
          <w:color w:val="auto"/>
          <w:sz w:val="32"/>
          <w:szCs w:val="32"/>
          <w:lang w:val="en-US" w:eastAsia="zh-CN" w:bidi="ar-SA"/>
        </w:rPr>
        <w:t>。社保费用缴纳单位与聘用单位不一致但能合理解释的，一并提供解释材料。同期的社保缴费单位与聘用单位、执业资格注册单位不一致且无合理解释的，审核不予通过。</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三）就职单位具备从事相关业务资质资格的证明材料。具体指就职单位的资质证书、名录备案证书（仅限施工图设计文件审查机构）或营业执照等。在现就职单位从事相关专业领域工作不足8年的，需提供过往相应就职单位具备从事相关业务资格的证明材料。就职单位从事相关业务工作无资质资格要求的，如工程造价咨询企业、作为项目建设单位的其他单位，可提供营业执照。聘用单位是机关事业单位的可不用提供。</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八</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eastAsia="zh-CN" w:bidi="ar-SA"/>
        </w:rPr>
        <w:t>申请人提交的工程建设项目业绩</w:t>
      </w:r>
      <w:r>
        <w:rPr>
          <w:rFonts w:hint="eastAsia" w:ascii="仿宋_GB2312" w:hAnsi="仿宋_GB2312" w:eastAsia="仿宋_GB2312" w:cs="仿宋_GB2312"/>
          <w:b w:val="0"/>
          <w:bCs/>
          <w:color w:val="auto"/>
          <w:sz w:val="32"/>
          <w:szCs w:val="32"/>
          <w:u w:val="none"/>
          <w:lang w:val="en-US" w:eastAsia="zh-CN" w:bidi="ar-SA"/>
        </w:rPr>
        <w:t>应与所申请的评标评审专业内容密切相关</w:t>
      </w:r>
      <w:r>
        <w:rPr>
          <w:rFonts w:hint="eastAsia" w:ascii="仿宋_GB2312" w:hAnsi="仿宋_GB2312" w:eastAsia="仿宋_GB2312" w:cs="仿宋_GB2312"/>
          <w:b w:val="0"/>
          <w:bCs/>
          <w:color w:val="auto"/>
          <w:sz w:val="32"/>
          <w:szCs w:val="32"/>
          <w:lang w:val="en-US" w:eastAsia="zh-CN" w:bidi="ar-SA"/>
        </w:rPr>
        <w:t>，有体现工程规模（如</w:t>
      </w:r>
      <w:r>
        <w:rPr>
          <w:rFonts w:hint="eastAsia" w:ascii="仿宋_GB2312" w:hAnsi="仿宋_GB2312" w:eastAsia="仿宋_GB2312" w:cs="仿宋_GB2312"/>
          <w:b w:val="0"/>
          <w:bCs/>
          <w:color w:val="auto"/>
          <w:sz w:val="32"/>
          <w:szCs w:val="32"/>
          <w:u w:val="none"/>
          <w:lang w:val="en-US" w:eastAsia="zh-CN" w:bidi="ar-SA"/>
        </w:rPr>
        <w:t>工程造价、面积、高度、跨度、结构形式、管径、道路长度、隧道长度、管线长度、处理能力</w:t>
      </w:r>
      <w:r>
        <w:rPr>
          <w:rFonts w:hint="eastAsia" w:ascii="仿宋_GB2312" w:hAnsi="仿宋_GB2312" w:eastAsia="仿宋_GB2312" w:cs="仿宋_GB2312"/>
          <w:b w:val="0"/>
          <w:bCs/>
          <w:color w:val="auto"/>
          <w:sz w:val="32"/>
          <w:szCs w:val="32"/>
          <w:lang w:val="en-US" w:eastAsia="zh-CN" w:bidi="ar-SA"/>
        </w:rPr>
        <w:t>等）的数据，能真实有效的反映申请者从事相关领域工作和证明申请者具有较高的专业能力水平。所提交</w:t>
      </w:r>
      <w:r>
        <w:rPr>
          <w:rFonts w:hint="eastAsia" w:ascii="仿宋_GB2312" w:hAnsi="仿宋_GB2312" w:eastAsia="仿宋_GB2312" w:cs="仿宋_GB2312"/>
          <w:b w:val="0"/>
          <w:bCs/>
          <w:color w:val="auto"/>
          <w:sz w:val="32"/>
          <w:szCs w:val="32"/>
          <w:lang w:eastAsia="zh-CN" w:bidi="ar-SA"/>
        </w:rPr>
        <w:t>业绩</w:t>
      </w:r>
      <w:r>
        <w:rPr>
          <w:rFonts w:hint="eastAsia" w:ascii="仿宋_GB2312" w:hAnsi="仿宋_GB2312" w:eastAsia="仿宋_GB2312" w:cs="仿宋_GB2312"/>
          <w:b w:val="0"/>
          <w:bCs/>
          <w:color w:val="auto"/>
          <w:sz w:val="32"/>
          <w:szCs w:val="32"/>
          <w:lang w:val="en-US" w:eastAsia="zh-CN" w:bidi="ar-SA"/>
        </w:rPr>
        <w:t>不符合要求或与所申请三级类别评标评审专业关系不密切的，该三级类别评标评审专业申请不予通过。鼓励</w:t>
      </w:r>
      <w:r>
        <w:rPr>
          <w:rFonts w:hint="eastAsia" w:ascii="仿宋_GB2312" w:hAnsi="仿宋_GB2312" w:eastAsia="仿宋_GB2312" w:cs="仿宋_GB2312"/>
          <w:b w:val="0"/>
          <w:bCs/>
          <w:color w:val="auto"/>
          <w:sz w:val="32"/>
          <w:szCs w:val="32"/>
          <w:lang w:eastAsia="zh-CN" w:bidi="ar-SA"/>
        </w:rPr>
        <w:t>申请人</w:t>
      </w:r>
      <w:r>
        <w:rPr>
          <w:rFonts w:hint="eastAsia" w:ascii="仿宋_GB2312" w:hAnsi="仿宋_GB2312" w:eastAsia="仿宋_GB2312" w:cs="仿宋_GB2312"/>
          <w:b w:val="0"/>
          <w:bCs/>
          <w:color w:val="auto"/>
          <w:sz w:val="32"/>
          <w:szCs w:val="32"/>
          <w:lang w:val="en-US" w:eastAsia="zh-CN" w:bidi="ar-SA"/>
        </w:rPr>
        <w:t>提交超过最低要求的业绩证明材料。</w:t>
      </w:r>
    </w:p>
    <w:p>
      <w:pPr>
        <w:keepNext w:val="0"/>
        <w:keepLines w:val="0"/>
        <w:pageBreakBefore w:val="0"/>
        <w:numPr>
          <w:ilvl w:val="-1"/>
          <w:numId w:val="0"/>
        </w:numPr>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我省施工图设计文件审查机构的审查人员，其条件和审查专业已按《房屋建筑和市政基础设施工程施工图设计文件审查管理办法》审核并进行名单公布，具备较高的专业技术水平和实践业绩，申请与其开展施工图设计文件审查专业密切相关的勘察、设计类评标评审专业的，不需提供业绩证明材料。</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九</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申请勘察类专业的，所提交业绩证明材料原则上应能证明申请人以勘察单位项目负责人、项目技术负责人或相应专业负责人等负责人身份，参与不少于4项勘察合同金额50万元（或2项勘察合同金额200万元）以上</w:t>
      </w:r>
      <w:r>
        <w:rPr>
          <w:rFonts w:hint="eastAsia" w:ascii="仿宋_GB2312" w:hAnsi="仿宋_GB2312" w:eastAsia="仿宋_GB2312" w:cs="仿宋_GB2312"/>
          <w:b w:val="0"/>
          <w:bCs/>
          <w:color w:val="auto"/>
          <w:sz w:val="32"/>
          <w:szCs w:val="32"/>
          <w:lang w:eastAsia="zh-CN" w:bidi="ar-SA"/>
        </w:rPr>
        <w:t>工程建设项目的</w:t>
      </w:r>
      <w:r>
        <w:rPr>
          <w:rFonts w:hint="eastAsia" w:ascii="仿宋_GB2312" w:hAnsi="仿宋_GB2312" w:eastAsia="仿宋_GB2312" w:cs="仿宋_GB2312"/>
          <w:b w:val="0"/>
          <w:bCs/>
          <w:color w:val="auto"/>
          <w:sz w:val="32"/>
          <w:szCs w:val="32"/>
          <w:lang w:val="en-US" w:eastAsia="zh-CN" w:bidi="ar-SA"/>
        </w:rPr>
        <w:t>工程勘察或勘察管理。业绩证明材料主要包括：勘察合同（有项目名称、合同金额、合同双方签字盖章等）、项目管理架构设置文件（或相关任命书）、建筑工程施工许可证（或开工报告，下同）、勘察成果主要页（需有申请人的签字盖章）、施工图审查合格书等。</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申请设计类专业的，所提交业绩证明材料原则上应能证明申请人以设计单位项目负责人、项目技术负责人或相应专业负责人等负责人身份，参与不少于4项设计合同金额50万元（或2项设计合同金额200万元）以上</w:t>
      </w:r>
      <w:r>
        <w:rPr>
          <w:rFonts w:hint="eastAsia" w:ascii="仿宋_GB2312" w:hAnsi="仿宋_GB2312" w:eastAsia="仿宋_GB2312" w:cs="仿宋_GB2312"/>
          <w:b w:val="0"/>
          <w:bCs/>
          <w:color w:val="auto"/>
          <w:sz w:val="32"/>
          <w:szCs w:val="32"/>
          <w:lang w:eastAsia="zh-CN" w:bidi="ar-SA"/>
        </w:rPr>
        <w:t>工程建设项目</w:t>
      </w:r>
      <w:r>
        <w:rPr>
          <w:rFonts w:hint="eastAsia" w:ascii="仿宋_GB2312" w:hAnsi="仿宋_GB2312" w:eastAsia="仿宋_GB2312" w:cs="仿宋_GB2312"/>
          <w:b w:val="0"/>
          <w:bCs/>
          <w:color w:val="auto"/>
          <w:sz w:val="32"/>
          <w:szCs w:val="32"/>
          <w:lang w:val="en-US" w:eastAsia="zh-CN" w:bidi="ar-SA"/>
        </w:rPr>
        <w:t>的工程设计或设计管理。业绩证明材料主要包括：设计合同、项目管理架构设置文件（或相关任命书）、建筑工程施工许可证、设计成果主要页（需有申请人的签字）、施工图审查合格书等。</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十一</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监理类专业的，所提交业绩证明材料原则上应能证明申请人以监理单位项目负责人（项目总监理工程师）、总监理工程师代表、建设单位项目负责人身份，全程参与不少于4项监理合同金额50万元（或2项监理合同金额200万元）以上</w:t>
      </w:r>
      <w:r>
        <w:rPr>
          <w:rFonts w:hint="eastAsia" w:ascii="仿宋_GB2312" w:hAnsi="仿宋_GB2312" w:eastAsia="仿宋_GB2312" w:cs="仿宋_GB2312"/>
          <w:b w:val="0"/>
          <w:bCs/>
          <w:color w:val="auto"/>
          <w:sz w:val="32"/>
          <w:szCs w:val="32"/>
          <w:lang w:eastAsia="zh-CN" w:bidi="ar-SA"/>
        </w:rPr>
        <w:t>工程建设项目的</w:t>
      </w:r>
      <w:r>
        <w:rPr>
          <w:rFonts w:hint="eastAsia" w:ascii="仿宋_GB2312" w:hAnsi="仿宋_GB2312" w:eastAsia="仿宋_GB2312" w:cs="仿宋_GB2312"/>
          <w:b w:val="0"/>
          <w:bCs/>
          <w:color w:val="auto"/>
          <w:sz w:val="32"/>
          <w:szCs w:val="32"/>
          <w:lang w:val="en-US" w:eastAsia="zh-CN" w:bidi="ar-SA"/>
        </w:rPr>
        <w:t>工程监理或建设管理。业绩证明材料主要包括：监理合同、建筑工程施工许可证、项目管理架构设置文件（或相关任命书）、监理成果文件主要页（需有申请人的签字）、竣工验收报告等。</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十二</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工程造价类专业的，所提交业绩证明材料原则上应能证明申请人以造价咨询单位、建设单位、财政投资评审中心等单位的项目造价负责人、相关专业造价负责人等负责人身份，参与不少于4项工程造价编制（或审核）金额5000千万元（或2项工程造价编制（或审核）金额1亿元）以上工程</w:t>
      </w:r>
      <w:r>
        <w:rPr>
          <w:rFonts w:hint="eastAsia" w:ascii="仿宋_GB2312" w:hAnsi="仿宋_GB2312" w:eastAsia="仿宋_GB2312" w:cs="仿宋_GB2312"/>
          <w:b w:val="0"/>
          <w:bCs/>
          <w:color w:val="auto"/>
          <w:sz w:val="32"/>
          <w:szCs w:val="32"/>
          <w:lang w:eastAsia="zh-CN" w:bidi="ar-SA"/>
        </w:rPr>
        <w:t>建设项目的</w:t>
      </w:r>
      <w:r>
        <w:rPr>
          <w:rFonts w:hint="eastAsia" w:ascii="仿宋_GB2312" w:hAnsi="仿宋_GB2312" w:eastAsia="仿宋_GB2312" w:cs="仿宋_GB2312"/>
          <w:b w:val="0"/>
          <w:bCs/>
          <w:color w:val="auto"/>
          <w:sz w:val="32"/>
          <w:szCs w:val="32"/>
          <w:lang w:val="en-US" w:eastAsia="zh-CN" w:bidi="ar-SA"/>
        </w:rPr>
        <w:t>工程造价编制、审核</w:t>
      </w:r>
      <w:r>
        <w:rPr>
          <w:rFonts w:hint="eastAsia" w:ascii="仿宋_GB2312" w:hAnsi="仿宋_GB2312" w:eastAsia="仿宋_GB2312" w:cs="仿宋_GB2312"/>
          <w:b w:val="0"/>
          <w:bCs/>
          <w:color w:val="auto"/>
          <w:sz w:val="32"/>
          <w:szCs w:val="32"/>
          <w:u w:val="none"/>
          <w:lang w:val="en-US" w:eastAsia="zh-CN" w:bidi="ar-SA"/>
        </w:rPr>
        <w:t>。</w:t>
      </w:r>
      <w:r>
        <w:rPr>
          <w:rFonts w:hint="eastAsia" w:ascii="仿宋_GB2312" w:hAnsi="仿宋_GB2312" w:eastAsia="仿宋_GB2312" w:cs="仿宋_GB2312"/>
          <w:b w:val="0"/>
          <w:bCs/>
          <w:color w:val="auto"/>
          <w:sz w:val="32"/>
          <w:szCs w:val="32"/>
          <w:lang w:val="en-US" w:eastAsia="zh-CN" w:bidi="ar-SA"/>
        </w:rPr>
        <w:t>业绩证明材料主要包括：工程造价服务合同或相关工程造价编审委托（申请）文件（自行编制免提供）、项目管理架构设置文件或任命书（如有）、造价成果主要页（概算报告、预算报告、招标控制价文件、工程竣工结算报告等，需有申请人的签字盖章及编审金额）等。</w:t>
      </w:r>
    </w:p>
    <w:p>
      <w:pPr>
        <w:keepNext w:val="0"/>
        <w:keepLines w:val="0"/>
        <w:pageBreakBefore w:val="0"/>
        <w:numPr>
          <w:ilvl w:val="-1"/>
          <w:numId w:val="0"/>
        </w:numPr>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十三</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申请工程施工类专业的，所提交业绩证明材料原则上应能证明申请人以施工单位的项目负责人、项目技术负责人、项目质量负责人、项目安全负责人等负责人身份，或者建设单位项目负责人身份，全程参与不少于4项施工合同金额2000万元（2项施工合同金额5000万元）以上</w:t>
      </w:r>
      <w:r>
        <w:rPr>
          <w:rFonts w:hint="eastAsia" w:ascii="仿宋_GB2312" w:hAnsi="仿宋_GB2312" w:eastAsia="仿宋_GB2312" w:cs="仿宋_GB2312"/>
          <w:b w:val="0"/>
          <w:bCs/>
          <w:color w:val="auto"/>
          <w:sz w:val="32"/>
          <w:szCs w:val="32"/>
          <w:lang w:eastAsia="zh-CN" w:bidi="ar-SA"/>
        </w:rPr>
        <w:t>工程建设项目</w:t>
      </w:r>
      <w:r>
        <w:rPr>
          <w:rFonts w:hint="eastAsia" w:ascii="仿宋_GB2312" w:hAnsi="仿宋_GB2312" w:eastAsia="仿宋_GB2312" w:cs="仿宋_GB2312"/>
          <w:b w:val="0"/>
          <w:bCs/>
          <w:color w:val="auto"/>
          <w:sz w:val="32"/>
          <w:szCs w:val="32"/>
          <w:lang w:val="en-US" w:eastAsia="zh-CN" w:bidi="ar-SA"/>
        </w:rPr>
        <w:t>参与工程施工或建设管理。业绩证明材料主要包括：建筑工程施工许可证（或开工报告，下同）、项目管理架构设置文件（或相关任命书）、竣工验收报告等。</w:t>
      </w:r>
    </w:p>
    <w:p>
      <w:pPr>
        <w:keepNext w:val="0"/>
        <w:keepLines w:val="0"/>
        <w:pageBreakBefore w:val="0"/>
        <w:numPr>
          <w:ilvl w:val="-1"/>
          <w:numId w:val="0"/>
        </w:numPr>
        <w:kinsoku/>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 w:val="0"/>
          <w:bCs/>
          <w:color w:val="auto"/>
          <w:sz w:val="32"/>
          <w:szCs w:val="32"/>
          <w:lang w:val="en-US"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十四</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 xml:space="preserve"> 鼓励申请人在申请时一并提供其他能证明自身专业能力的工程项目获奖、个人获奖、</w:t>
      </w:r>
      <w:r>
        <w:rPr>
          <w:rFonts w:hint="eastAsia" w:ascii="仿宋_GB2312" w:hAnsi="仿宋_GB2312" w:eastAsia="仿宋_GB2312" w:cs="仿宋_GB2312"/>
          <w:b w:val="0"/>
          <w:bCs/>
          <w:color w:val="auto"/>
          <w:sz w:val="32"/>
          <w:szCs w:val="32"/>
          <w:lang w:bidi="ar-SA"/>
        </w:rPr>
        <w:t>科研成果、著作译著、</w:t>
      </w:r>
      <w:r>
        <w:rPr>
          <w:rFonts w:hint="eastAsia" w:ascii="仿宋_GB2312" w:hAnsi="仿宋_GB2312" w:eastAsia="仿宋_GB2312" w:cs="仿宋_GB2312"/>
          <w:b w:val="0"/>
          <w:bCs/>
          <w:color w:val="auto"/>
          <w:sz w:val="32"/>
          <w:szCs w:val="32"/>
          <w:lang w:val="en-US" w:eastAsia="zh-CN" w:bidi="ar-SA"/>
        </w:rPr>
        <w:t>发明专利、参与编制标准规范等奖项荣誉成绩证明资料。</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bidi="ar-SA"/>
        </w:rPr>
        <w:t>第</w:t>
      </w:r>
      <w:r>
        <w:rPr>
          <w:rFonts w:hint="eastAsia" w:ascii="仿宋_GB2312" w:hAnsi="仿宋_GB2312" w:eastAsia="仿宋_GB2312" w:cs="仿宋_GB2312"/>
          <w:b/>
          <w:bCs/>
          <w:color w:val="auto"/>
          <w:sz w:val="32"/>
          <w:szCs w:val="32"/>
          <w:lang w:eastAsia="zh-CN" w:bidi="ar-SA"/>
        </w:rPr>
        <w:t>十五</w:t>
      </w:r>
      <w:r>
        <w:rPr>
          <w:rFonts w:hint="eastAsia" w:ascii="仿宋_GB2312" w:hAnsi="仿宋_GB2312" w:eastAsia="仿宋_GB2312" w:cs="仿宋_GB2312"/>
          <w:b/>
          <w:bCs/>
          <w:color w:val="auto"/>
          <w:sz w:val="32"/>
          <w:szCs w:val="32"/>
          <w:lang w:bidi="ar-SA"/>
        </w:rPr>
        <w:t>条</w:t>
      </w:r>
      <w:r>
        <w:rPr>
          <w:rFonts w:hint="eastAsia" w:ascii="仿宋_GB2312" w:hAnsi="仿宋_GB2312" w:eastAsia="仿宋_GB2312" w:cs="仿宋_GB2312"/>
          <w:b/>
          <w:bCs/>
          <w:color w:val="auto"/>
          <w:sz w:val="32"/>
          <w:szCs w:val="32"/>
          <w:lang w:val="en-US" w:eastAsia="zh-CN" w:bidi="ar-SA"/>
        </w:rPr>
        <w:t xml:space="preserve">  </w:t>
      </w:r>
      <w:r>
        <w:rPr>
          <w:rFonts w:hint="eastAsia" w:ascii="仿宋_GB2312" w:hAnsi="仿宋_GB2312" w:eastAsia="仿宋_GB2312" w:cs="仿宋_GB2312"/>
          <w:b w:val="0"/>
          <w:bCs/>
          <w:color w:val="auto"/>
          <w:sz w:val="32"/>
          <w:szCs w:val="32"/>
          <w:lang w:val="en-US" w:eastAsia="zh-CN" w:bidi="ar-SA"/>
        </w:rPr>
        <w:t>存在以下情形的，申请人业绩证明材料可按如下要求调整：</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一）申请人的业绩项目获得国家级行政主管部门或相关行业协会（指国家部委指导的协会）、省级相关行政部门颁发的科技、质量、安全、勘察、设计、监理、工程造价、工程施工类奖项的，可以只提供该获奖项目业绩。</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val="0"/>
          <w:bCs/>
          <w:color w:val="auto"/>
          <w:sz w:val="32"/>
          <w:szCs w:val="32"/>
          <w:lang w:val="en-US" w:eastAsia="zh-CN" w:bidi="ar-SA"/>
        </w:rPr>
        <w:t>（二）申请人取得国家不分级别或一级注册执业资格8年以上，或副高级专业技术职称8年以上、正高级专业技术职称的，可只提供一项相关专业业绩。</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shd w:val="clear" w:color="auto" w:fill="auto"/>
          <w:lang w:eastAsia="zh-CN" w:bidi="ar-SA"/>
        </w:rPr>
      </w:pPr>
      <w:r>
        <w:rPr>
          <w:rFonts w:hint="eastAsia" w:ascii="仿宋_GB2312" w:hAnsi="仿宋_GB2312" w:eastAsia="仿宋_GB2312" w:cs="仿宋_GB2312"/>
          <w:b w:val="0"/>
          <w:bCs/>
          <w:color w:val="auto"/>
          <w:sz w:val="32"/>
          <w:szCs w:val="32"/>
          <w:lang w:val="en-US" w:eastAsia="zh-CN" w:bidi="ar-SA"/>
        </w:rPr>
        <w:t>（三）申请人</w:t>
      </w:r>
      <w:r>
        <w:rPr>
          <w:rFonts w:hint="eastAsia" w:ascii="仿宋_GB2312" w:hAnsi="仿宋_GB2312" w:eastAsia="仿宋_GB2312" w:cs="仿宋_GB2312"/>
          <w:b w:val="0"/>
          <w:bCs/>
          <w:color w:val="auto"/>
          <w:sz w:val="32"/>
          <w:szCs w:val="32"/>
          <w:shd w:val="clear" w:color="auto" w:fill="auto"/>
          <w:lang w:eastAsia="zh-CN" w:bidi="ar-SA"/>
        </w:rPr>
        <w:t>从事相关专业领域工作满</w:t>
      </w:r>
      <w:r>
        <w:rPr>
          <w:rFonts w:hint="eastAsia" w:ascii="仿宋_GB2312" w:hAnsi="仿宋_GB2312" w:eastAsia="仿宋_GB2312" w:cs="仿宋_GB2312"/>
          <w:b w:val="0"/>
          <w:bCs/>
          <w:color w:val="auto"/>
          <w:sz w:val="32"/>
          <w:szCs w:val="32"/>
          <w:shd w:val="clear" w:color="auto" w:fill="auto"/>
          <w:lang w:val="en-US" w:eastAsia="zh-CN" w:bidi="ar-SA"/>
        </w:rPr>
        <w:t>15年并</w:t>
      </w:r>
      <w:r>
        <w:rPr>
          <w:rFonts w:hint="eastAsia" w:ascii="仿宋_GB2312" w:hAnsi="仿宋_GB2312" w:eastAsia="仿宋_GB2312" w:cs="仿宋_GB2312"/>
          <w:b w:val="0"/>
          <w:bCs/>
          <w:color w:val="auto"/>
          <w:sz w:val="32"/>
          <w:szCs w:val="32"/>
          <w:lang w:val="en-US" w:eastAsia="zh-CN" w:bidi="ar-SA"/>
        </w:rPr>
        <w:t>任</w:t>
      </w:r>
      <w:r>
        <w:rPr>
          <w:rFonts w:hint="eastAsia" w:ascii="仿宋_GB2312" w:hAnsi="仿宋_GB2312" w:eastAsia="仿宋_GB2312" w:cs="仿宋_GB2312"/>
          <w:b w:val="0"/>
          <w:bCs/>
          <w:color w:val="auto"/>
          <w:sz w:val="32"/>
          <w:szCs w:val="32"/>
          <w:shd w:val="clear" w:color="auto" w:fill="auto"/>
          <w:lang w:eastAsia="zh-CN" w:bidi="ar-SA"/>
        </w:rPr>
        <w:t>勘察、设计、监理、建筑业企业（施工劳务资质除外，下同）的技术负责人两年以上的，业绩可调整为提供以企业技术负责人身份开展工程项目建设管理活动的证明材料（如相关方案审批页等）、对应项目建筑工程施工许可证、企业证明材料，需</w:t>
      </w:r>
      <w:r>
        <w:rPr>
          <w:rFonts w:hint="eastAsia" w:ascii="仿宋_GB2312" w:hAnsi="仿宋_GB2312" w:eastAsia="仿宋_GB2312" w:cs="仿宋_GB2312"/>
          <w:b w:val="0"/>
          <w:bCs/>
          <w:color w:val="auto"/>
          <w:sz w:val="32"/>
          <w:szCs w:val="32"/>
          <w:shd w:val="clear" w:color="auto" w:fill="auto"/>
          <w:lang w:val="en-US" w:eastAsia="zh-CN" w:bidi="ar-SA"/>
        </w:rPr>
        <w:t>不少于3项建设工程</w:t>
      </w:r>
      <w:r>
        <w:rPr>
          <w:rFonts w:hint="eastAsia" w:ascii="仿宋_GB2312" w:hAnsi="仿宋_GB2312" w:eastAsia="仿宋_GB2312" w:cs="仿宋_GB2312"/>
          <w:b w:val="0"/>
          <w:bCs/>
          <w:color w:val="auto"/>
          <w:sz w:val="32"/>
          <w:szCs w:val="32"/>
          <w:shd w:val="clear" w:color="auto" w:fill="auto"/>
          <w:lang w:eastAsia="zh-CN" w:bidi="ar-SA"/>
        </w:rPr>
        <w:t>。企业技术负责人身份以资质证书和企业证明材料共同证明。</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Cs/>
          <w:color w:val="auto"/>
          <w:sz w:val="32"/>
          <w:szCs w:val="32"/>
          <w:shd w:val="clear" w:color="auto" w:fill="auto"/>
          <w:lang w:eastAsia="zh-CN" w:bidi="ar-SA"/>
        </w:rPr>
      </w:pPr>
      <w:r>
        <w:rPr>
          <w:rFonts w:hint="eastAsia" w:ascii="仿宋_GB2312" w:hAnsi="仿宋_GB2312" w:eastAsia="仿宋_GB2312" w:cs="仿宋_GB2312"/>
          <w:b/>
          <w:bCs/>
          <w:color w:val="auto"/>
          <w:sz w:val="32"/>
          <w:szCs w:val="32"/>
          <w:shd w:val="clear" w:color="auto" w:fill="auto"/>
          <w:lang w:eastAsia="zh-CN" w:bidi="ar-SA"/>
        </w:rPr>
        <w:t>第十六条</w:t>
      </w:r>
      <w:r>
        <w:rPr>
          <w:rFonts w:hint="eastAsia" w:ascii="仿宋_GB2312" w:hAnsi="仿宋_GB2312" w:eastAsia="仿宋_GB2312" w:cs="仿宋_GB2312"/>
          <w:b/>
          <w:bCs/>
          <w:color w:val="auto"/>
          <w:sz w:val="32"/>
          <w:szCs w:val="32"/>
          <w:shd w:val="clear" w:color="auto" w:fill="auto"/>
          <w:lang w:val="en-US" w:eastAsia="zh-CN" w:bidi="ar-SA"/>
        </w:rPr>
        <w:t xml:space="preserve">  </w:t>
      </w:r>
      <w:r>
        <w:rPr>
          <w:rFonts w:hint="eastAsia" w:ascii="仿宋_GB2312" w:hAnsi="仿宋_GB2312" w:eastAsia="仿宋_GB2312" w:cs="仿宋_GB2312"/>
          <w:b w:val="0"/>
          <w:bCs/>
          <w:color w:val="auto"/>
          <w:sz w:val="32"/>
          <w:szCs w:val="32"/>
          <w:shd w:val="clear" w:color="auto" w:fill="auto"/>
          <w:lang w:val="en-US" w:eastAsia="zh-CN" w:bidi="ar-SA"/>
        </w:rPr>
        <w:t>不</w:t>
      </w:r>
      <w:r>
        <w:rPr>
          <w:rFonts w:hint="eastAsia" w:ascii="仿宋_GB2312" w:hAnsi="仿宋_GB2312" w:eastAsia="仿宋_GB2312" w:cs="仿宋_GB2312"/>
          <w:bCs/>
          <w:color w:val="auto"/>
          <w:sz w:val="32"/>
          <w:szCs w:val="32"/>
          <w:shd w:val="clear" w:color="auto" w:fill="auto"/>
          <w:lang w:val="en-US" w:eastAsia="zh-CN" w:bidi="ar-SA"/>
        </w:rPr>
        <w:t>满足</w:t>
      </w:r>
      <w:r>
        <w:rPr>
          <w:rFonts w:hint="eastAsia" w:ascii="仿宋_GB2312" w:hAnsi="仿宋_GB2312" w:eastAsia="仿宋_GB2312" w:cs="仿宋_GB2312"/>
          <w:bCs/>
          <w:color w:val="auto"/>
          <w:sz w:val="32"/>
          <w:szCs w:val="32"/>
          <w:shd w:val="clear" w:color="auto" w:fill="auto"/>
          <w:lang w:bidi="ar-SA"/>
        </w:rPr>
        <w:t>入选省专家库</w:t>
      </w:r>
      <w:r>
        <w:rPr>
          <w:rFonts w:hint="eastAsia" w:ascii="仿宋_GB2312" w:hAnsi="仿宋_GB2312" w:eastAsia="仿宋_GB2312" w:cs="仿宋_GB2312"/>
          <w:b w:val="0"/>
          <w:bCs/>
          <w:color w:val="auto"/>
          <w:sz w:val="32"/>
          <w:szCs w:val="32"/>
          <w:shd w:val="clear" w:color="auto" w:fill="auto"/>
          <w:lang w:bidi="ar-SA"/>
        </w:rPr>
        <w:t>基本条件</w:t>
      </w:r>
      <w:r>
        <w:rPr>
          <w:rFonts w:hint="eastAsia" w:ascii="仿宋_GB2312" w:hAnsi="仿宋_GB2312" w:eastAsia="仿宋_GB2312" w:cs="仿宋_GB2312"/>
          <w:b w:val="0"/>
          <w:bCs/>
          <w:color w:val="auto"/>
          <w:sz w:val="32"/>
          <w:szCs w:val="32"/>
          <w:shd w:val="clear" w:color="auto" w:fill="auto"/>
          <w:lang w:eastAsia="zh-CN" w:bidi="ar-SA"/>
        </w:rPr>
        <w:t>的，</w:t>
      </w:r>
      <w:r>
        <w:rPr>
          <w:rFonts w:hint="eastAsia" w:ascii="仿宋_GB2312" w:hAnsi="仿宋_GB2312" w:eastAsia="仿宋_GB2312" w:cs="仿宋_GB2312"/>
          <w:bCs/>
          <w:color w:val="auto"/>
          <w:sz w:val="32"/>
          <w:szCs w:val="32"/>
          <w:shd w:val="clear" w:color="auto" w:fill="auto"/>
          <w:lang w:bidi="ar-SA"/>
        </w:rPr>
        <w:t>省专家库</w:t>
      </w:r>
      <w:r>
        <w:rPr>
          <w:rFonts w:hint="eastAsia" w:ascii="仿宋_GB2312" w:hAnsi="仿宋_GB2312" w:eastAsia="仿宋_GB2312" w:cs="仿宋_GB2312"/>
          <w:bCs/>
          <w:color w:val="auto"/>
          <w:sz w:val="32"/>
          <w:szCs w:val="32"/>
          <w:shd w:val="clear" w:color="auto" w:fill="auto"/>
          <w:lang w:eastAsia="zh-CN" w:bidi="ar-SA"/>
        </w:rPr>
        <w:t>入库申请审核不予通过。</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lang w:eastAsia="zh-CN" w:bidi="ar-SA"/>
        </w:rPr>
      </w:pPr>
      <w:r>
        <w:rPr>
          <w:rFonts w:hint="eastAsia" w:ascii="仿宋_GB2312" w:hAnsi="仿宋_GB2312" w:eastAsia="仿宋_GB2312" w:cs="仿宋_GB2312"/>
          <w:b w:val="0"/>
          <w:bCs/>
          <w:color w:val="auto"/>
          <w:sz w:val="32"/>
          <w:szCs w:val="32"/>
          <w:shd w:val="clear" w:color="auto" w:fill="auto"/>
          <w:lang w:eastAsia="zh-CN" w:bidi="ar-SA"/>
        </w:rPr>
        <w:t>已</w:t>
      </w:r>
      <w:r>
        <w:rPr>
          <w:rFonts w:hint="eastAsia" w:ascii="仿宋_GB2312" w:hAnsi="仿宋_GB2312" w:eastAsia="仿宋_GB2312" w:cs="仿宋_GB2312"/>
          <w:bCs/>
          <w:color w:val="auto"/>
          <w:sz w:val="32"/>
          <w:szCs w:val="32"/>
          <w:shd w:val="clear" w:color="auto" w:fill="auto"/>
          <w:lang w:bidi="ar-SA"/>
        </w:rPr>
        <w:t>入选省专</w:t>
      </w:r>
      <w:r>
        <w:rPr>
          <w:rFonts w:hint="eastAsia" w:ascii="仿宋_GB2312" w:hAnsi="仿宋_GB2312" w:eastAsia="仿宋_GB2312" w:cs="仿宋_GB2312"/>
          <w:b w:val="0"/>
          <w:bCs/>
          <w:color w:val="auto"/>
          <w:sz w:val="32"/>
          <w:szCs w:val="32"/>
          <w:shd w:val="clear" w:color="auto" w:fill="auto"/>
          <w:lang w:bidi="ar-SA"/>
        </w:rPr>
        <w:t>家库</w:t>
      </w:r>
      <w:r>
        <w:rPr>
          <w:rFonts w:hint="eastAsia" w:ascii="仿宋_GB2312" w:hAnsi="仿宋_GB2312" w:eastAsia="仿宋_GB2312" w:cs="仿宋_GB2312"/>
          <w:b w:val="0"/>
          <w:bCs/>
          <w:color w:val="auto"/>
          <w:sz w:val="32"/>
          <w:szCs w:val="32"/>
          <w:shd w:val="clear" w:color="auto" w:fill="auto"/>
          <w:lang w:eastAsia="zh-CN" w:bidi="ar-SA"/>
        </w:rPr>
        <w:t>但因身体健康、业务能力及信誉等原因不能胜任评标工作，被移出省专家库的</w:t>
      </w:r>
      <w:r>
        <w:rPr>
          <w:rFonts w:hint="eastAsia" w:ascii="仿宋_GB2312" w:hAnsi="仿宋_GB2312" w:eastAsia="仿宋_GB2312" w:cs="仿宋_GB2312"/>
          <w:b w:val="0"/>
          <w:bCs/>
          <w:i w:val="0"/>
          <w:caps w:val="0"/>
          <w:color w:val="auto"/>
          <w:spacing w:val="0"/>
          <w:kern w:val="2"/>
          <w:sz w:val="32"/>
          <w:szCs w:val="32"/>
          <w:shd w:val="clear" w:color="auto" w:fill="auto"/>
          <w:lang w:val="en-US" w:eastAsia="zh-CN" w:bidi="ar-SA"/>
        </w:rPr>
        <w:t>，</w:t>
      </w:r>
      <w:r>
        <w:rPr>
          <w:rFonts w:hint="eastAsia" w:ascii="仿宋_GB2312" w:hAnsi="仿宋_GB2312" w:eastAsia="仿宋_GB2312" w:cs="仿宋_GB2312"/>
          <w:b w:val="0"/>
          <w:bCs/>
          <w:color w:val="auto"/>
          <w:sz w:val="32"/>
          <w:szCs w:val="32"/>
          <w:shd w:val="clear" w:color="auto" w:fill="auto"/>
          <w:lang w:eastAsia="zh-CN" w:bidi="ar-SA"/>
        </w:rPr>
        <w:t>按照《</w:t>
      </w:r>
      <w:r>
        <w:rPr>
          <w:rFonts w:hint="eastAsia" w:ascii="仿宋_GB2312" w:hAnsi="仿宋_GB2312" w:eastAsia="仿宋_GB2312" w:cs="仿宋_GB2312"/>
          <w:b w:val="0"/>
          <w:bCs/>
          <w:color w:val="auto"/>
          <w:sz w:val="32"/>
          <w:szCs w:val="32"/>
          <w:lang w:bidi="ar-SA"/>
        </w:rPr>
        <w:t>广东省综合评标评审专家和评标评审专家库管理办法</w:t>
      </w:r>
      <w:r>
        <w:rPr>
          <w:rFonts w:hint="eastAsia" w:ascii="仿宋_GB2312" w:hAnsi="仿宋_GB2312" w:eastAsia="仿宋_GB2312" w:cs="仿宋_GB2312"/>
          <w:b w:val="0"/>
          <w:bCs/>
          <w:color w:val="auto"/>
          <w:sz w:val="32"/>
          <w:szCs w:val="32"/>
          <w:shd w:val="clear" w:color="auto" w:fill="auto"/>
          <w:lang w:eastAsia="zh-CN" w:bidi="ar-SA"/>
        </w:rPr>
        <w:t>》规定</w:t>
      </w:r>
      <w:r>
        <w:rPr>
          <w:rFonts w:hint="eastAsia" w:ascii="仿宋_GB2312" w:hAnsi="仿宋_GB2312" w:eastAsia="仿宋_GB2312" w:cs="仿宋_GB2312"/>
          <w:b w:val="0"/>
          <w:bCs/>
          <w:i w:val="0"/>
          <w:caps w:val="0"/>
          <w:color w:val="auto"/>
          <w:spacing w:val="0"/>
          <w:kern w:val="2"/>
          <w:sz w:val="32"/>
          <w:szCs w:val="32"/>
          <w:shd w:val="clear" w:color="auto" w:fill="auto"/>
          <w:lang w:val="en-US" w:eastAsia="zh-CN" w:bidi="ar-SA"/>
        </w:rPr>
        <w:t>两年内</w:t>
      </w:r>
      <w:r>
        <w:rPr>
          <w:rFonts w:hint="eastAsia" w:ascii="仿宋_GB2312" w:hAnsi="仿宋_GB2312" w:eastAsia="仿宋_GB2312" w:cs="仿宋_GB2312"/>
          <w:b w:val="0"/>
          <w:bCs/>
          <w:color w:val="auto"/>
          <w:sz w:val="32"/>
          <w:szCs w:val="32"/>
          <w:shd w:val="clear" w:color="auto" w:fill="auto"/>
          <w:lang w:eastAsia="zh-CN" w:bidi="ar-SA"/>
        </w:rPr>
        <w:t>不受理其入库申请</w:t>
      </w:r>
      <w:r>
        <w:rPr>
          <w:rFonts w:hint="eastAsia" w:ascii="仿宋_GB2312" w:hAnsi="仿宋_GB2312" w:eastAsia="仿宋_GB2312" w:cs="仿宋_GB2312"/>
          <w:b w:val="0"/>
          <w:bCs/>
          <w:color w:val="auto"/>
          <w:sz w:val="32"/>
          <w:szCs w:val="32"/>
          <w:lang w:eastAsia="zh-CN" w:bidi="ar-SA"/>
        </w:rPr>
        <w:t>。</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shd w:val="clear" w:color="auto" w:fill="auto"/>
          <w:lang w:val="en-US" w:eastAsia="zh-CN" w:bidi="ar-SA"/>
        </w:rPr>
      </w:pPr>
      <w:r>
        <w:rPr>
          <w:rFonts w:hint="eastAsia" w:ascii="仿宋_GB2312" w:hAnsi="仿宋_GB2312" w:eastAsia="仿宋_GB2312" w:cs="仿宋_GB2312"/>
          <w:b w:val="0"/>
          <w:bCs/>
          <w:color w:val="auto"/>
          <w:sz w:val="32"/>
          <w:szCs w:val="32"/>
          <w:shd w:val="clear" w:color="auto" w:fill="auto"/>
          <w:lang w:eastAsia="zh-CN" w:bidi="ar-SA"/>
        </w:rPr>
        <w:t>被依法</w:t>
      </w:r>
      <w:r>
        <w:rPr>
          <w:rFonts w:hint="eastAsia" w:ascii="仿宋_GB2312" w:hAnsi="仿宋_GB2312" w:eastAsia="仿宋_GB2312" w:cs="仿宋_GB2312"/>
          <w:b w:val="0"/>
          <w:bCs/>
          <w:i w:val="0"/>
          <w:caps w:val="0"/>
          <w:color w:val="auto"/>
          <w:spacing w:val="0"/>
          <w:kern w:val="2"/>
          <w:sz w:val="32"/>
          <w:szCs w:val="32"/>
          <w:shd w:val="clear" w:color="auto" w:fill="auto"/>
          <w:lang w:val="en-US" w:eastAsia="zh-CN" w:bidi="ar-SA"/>
        </w:rPr>
        <w:t>取消担任评标委员会成员资格，</w:t>
      </w:r>
      <w:r>
        <w:rPr>
          <w:rFonts w:hint="eastAsia" w:ascii="仿宋_GB2312" w:hAnsi="仿宋_GB2312" w:eastAsia="仿宋_GB2312" w:cs="仿宋_GB2312"/>
          <w:b w:val="0"/>
          <w:bCs/>
          <w:color w:val="auto"/>
          <w:sz w:val="32"/>
          <w:szCs w:val="32"/>
          <w:shd w:val="clear" w:color="auto" w:fill="auto"/>
          <w:lang w:eastAsia="zh-CN" w:bidi="ar-SA"/>
        </w:rPr>
        <w:t>或者因在</w:t>
      </w:r>
      <w:r>
        <w:rPr>
          <w:rFonts w:hint="eastAsia" w:ascii="仿宋_GB2312" w:hAnsi="仿宋_GB2312" w:eastAsia="仿宋_GB2312" w:cs="仿宋_GB2312"/>
          <w:b w:val="0"/>
          <w:bCs/>
          <w:color w:val="auto"/>
          <w:sz w:val="32"/>
          <w:szCs w:val="32"/>
          <w:shd w:val="clear" w:color="auto" w:fill="auto"/>
          <w:lang w:val="en-US" w:eastAsia="zh-CN" w:bidi="ar-SA"/>
        </w:rPr>
        <w:t>聘任期内连续两个年度考评结果为不合格按照《广东省综合评标评审专家库专家的考评办法》规定被</w:t>
      </w:r>
      <w:r>
        <w:rPr>
          <w:rFonts w:hint="eastAsia" w:ascii="仿宋_GB2312" w:hAnsi="仿宋_GB2312" w:eastAsia="仿宋_GB2312" w:cs="仿宋_GB2312"/>
          <w:b w:val="0"/>
          <w:bCs/>
          <w:color w:val="auto"/>
          <w:sz w:val="32"/>
          <w:szCs w:val="32"/>
          <w:shd w:val="clear" w:color="auto" w:fill="auto"/>
          <w:lang w:eastAsia="zh-CN" w:bidi="ar-SA"/>
        </w:rPr>
        <w:t>移出省专家库的，不受理其入库申请。</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shd w:val="clear" w:color="auto" w:fill="auto"/>
          <w:lang w:val="en-US" w:eastAsia="zh-CN" w:bidi="ar-SA"/>
        </w:rPr>
      </w:pPr>
      <w:r>
        <w:rPr>
          <w:rFonts w:hint="eastAsia" w:ascii="仿宋_GB2312" w:hAnsi="仿宋_GB2312" w:eastAsia="仿宋_GB2312" w:cs="仿宋_GB2312"/>
          <w:b w:val="0"/>
          <w:bCs/>
          <w:color w:val="auto"/>
          <w:sz w:val="32"/>
          <w:szCs w:val="32"/>
          <w:shd w:val="clear" w:color="auto" w:fill="auto"/>
          <w:lang w:val="en-US" w:eastAsia="zh-CN" w:bidi="ar-SA"/>
        </w:rPr>
        <w:t>因聘任期内任一年度考评结果为不合格或当年年度考评扣分累计超过40分且未进行相关培训并考核合格的，按照《广东省综合评标评审专家库专家的考评办法》规定续聘审核不予通过。</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lang w:val="en-US" w:eastAsia="zh-CN" w:bidi="ar-SA"/>
        </w:rPr>
      </w:pPr>
      <w:r>
        <w:rPr>
          <w:rFonts w:hint="eastAsia" w:ascii="仿宋_GB2312" w:hAnsi="仿宋_GB2312" w:eastAsia="仿宋_GB2312" w:cs="仿宋_GB2312"/>
          <w:b/>
          <w:bCs/>
          <w:color w:val="auto"/>
          <w:sz w:val="32"/>
          <w:szCs w:val="32"/>
          <w:lang w:val="en-US" w:eastAsia="zh-CN" w:bidi="ar-SA"/>
        </w:rPr>
        <w:t>第十</w:t>
      </w:r>
      <w:r>
        <w:rPr>
          <w:rFonts w:hint="eastAsia" w:ascii="仿宋_GB2312" w:hAnsi="仿宋_GB2312" w:eastAsia="仿宋_GB2312" w:cs="仿宋_GB2312"/>
          <w:b/>
          <w:bCs/>
          <w:color w:val="auto"/>
          <w:sz w:val="32"/>
          <w:szCs w:val="32"/>
          <w:lang w:eastAsia="zh-CN" w:bidi="ar-SA"/>
        </w:rPr>
        <w:t>七</w:t>
      </w:r>
      <w:r>
        <w:rPr>
          <w:rFonts w:hint="eastAsia" w:ascii="仿宋_GB2312" w:hAnsi="仿宋_GB2312" w:eastAsia="仿宋_GB2312" w:cs="仿宋_GB2312"/>
          <w:b/>
          <w:bCs/>
          <w:color w:val="auto"/>
          <w:sz w:val="32"/>
          <w:szCs w:val="32"/>
          <w:lang w:val="en-US" w:eastAsia="zh-CN" w:bidi="ar-SA"/>
        </w:rPr>
        <w:t>条</w:t>
      </w:r>
      <w:r>
        <w:rPr>
          <w:rFonts w:hint="eastAsia" w:ascii="仿宋_GB2312" w:hAnsi="仿宋_GB2312" w:eastAsia="仿宋_GB2312" w:cs="仿宋_GB2312"/>
          <w:b w:val="0"/>
          <w:bCs/>
          <w:color w:val="auto"/>
          <w:sz w:val="32"/>
          <w:szCs w:val="32"/>
          <w:lang w:val="en-US" w:eastAsia="zh-CN" w:bidi="ar-SA"/>
        </w:rPr>
        <w:t xml:space="preserve">  本终审标准由省住房城乡建设厅负责解释。</w:t>
      </w:r>
    </w:p>
    <w:p>
      <w:pPr>
        <w:keepNext w:val="0"/>
        <w:keepLines w:val="0"/>
        <w:pageBreakBefore w:val="0"/>
        <w:kinsoku/>
        <w:overflowPunct/>
        <w:topLinePunct w:val="0"/>
        <w:autoSpaceDE/>
        <w:autoSpaceDN/>
        <w:bidi w:val="0"/>
        <w:adjustRightInd/>
        <w:snapToGrid/>
        <w:spacing w:line="600" w:lineRule="exact"/>
        <w:ind w:firstLine="640" w:firstLineChars="0"/>
        <w:textAlignment w:val="auto"/>
        <w:rPr>
          <w:rFonts w:hint="eastAsia" w:ascii="Calibri" w:hAnsi="Calibri" w:eastAsia="宋体" w:cs="宋体"/>
          <w:color w:val="auto"/>
          <w:sz w:val="21"/>
          <w:szCs w:val="24"/>
          <w:lang w:val="en-US" w:eastAsia="zh-CN" w:bidi="ar-SA"/>
        </w:rPr>
      </w:pPr>
      <w:r>
        <w:rPr>
          <w:rFonts w:hint="eastAsia" w:ascii="仿宋_GB2312" w:hAnsi="仿宋_GB2312" w:eastAsia="仿宋_GB2312" w:cs="仿宋_GB2312"/>
          <w:b/>
          <w:bCs/>
          <w:sz w:val="32"/>
          <w:szCs w:val="32"/>
          <w:lang w:val="en-US" w:eastAsia="zh-CN" w:bidi="ar-SA"/>
        </w:rPr>
        <w:t>第十八条</w:t>
      </w:r>
      <w:r>
        <w:rPr>
          <w:rFonts w:hint="eastAsia" w:ascii="仿宋_GB2312" w:hAnsi="仿宋_GB2312" w:eastAsia="仿宋_GB2312" w:cs="仿宋_GB2312"/>
          <w:b w:val="0"/>
          <w:bCs/>
          <w:sz w:val="32"/>
          <w:szCs w:val="32"/>
          <w:lang w:val="en-US" w:eastAsia="zh-CN" w:bidi="ar-SA"/>
        </w:rPr>
        <w:t xml:space="preserve">  本终审标准自2024年X月X日起实施。</w:t>
      </w:r>
    </w:p>
    <w:p>
      <w:pPr>
        <w:keepNext w:val="0"/>
        <w:keepLines w:val="0"/>
        <w:pageBreakBefore w:val="0"/>
        <w:kinsoku/>
        <w:overflowPunct/>
        <w:topLinePunct w:val="0"/>
        <w:autoSpaceDE/>
        <w:autoSpaceDN/>
        <w:bidi w:val="0"/>
        <w:adjustRightInd/>
        <w:snapToGrid/>
        <w:spacing w:line="600" w:lineRule="exact"/>
        <w:textAlignment w:val="auto"/>
        <w:rPr>
          <w:rFonts w:ascii="Times New Roman" w:hAnsi="Times New Roman" w:eastAsia="宋体" w:cs="Times New Roman"/>
          <w:sz w:val="21"/>
          <w:szCs w:val="20"/>
        </w:rPr>
      </w:pPr>
    </w:p>
    <w:p/>
    <w:p>
      <w:bookmarkStart w:id="0" w:name="_GoBack"/>
      <w:bookmarkEnd w:id="0"/>
    </w:p>
    <w:sectPr>
      <w:footerReference r:id="rId5" w:type="default"/>
      <w:pgSz w:w="11906" w:h="16838"/>
      <w:pgMar w:top="1644" w:right="1474" w:bottom="1418" w:left="1588" w:header="851" w:footer="992" w:gutter="0"/>
      <w:pgNumType w:fmt="numberInDash" w:start="1"/>
      <w:cols w:space="0" w:num="1"/>
      <w:docGrid w:type="lines" w:linePitch="31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heme="minorEastAsia" w:hAnsiTheme="minorEastAsia" w:eastAsiaTheme="minorEastAsia"/>
        <w:sz w:val="28"/>
        <w:szCs w:val="28"/>
      </w:rPr>
    </w:pP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hZDU5Nzc0MWRjZjgzYTk5MjI0N2JhZjg4OWRhMWIifQ=="/>
  </w:docVars>
  <w:rsids>
    <w:rsidRoot w:val="074661EA"/>
    <w:rsid w:val="07466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jc w:val="both"/>
    </w:pPr>
    <w:rPr>
      <w:rFonts w:eastAsia="仿宋_GB2312" w:asciiTheme="minorHAnsi" w:hAnsiTheme="minorHAnsi" w:cstheme="minorBidi"/>
      <w:kern w:val="2"/>
      <w:sz w:val="32"/>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引文目录标题1"/>
    <w:basedOn w:val="1"/>
    <w:next w:val="1"/>
    <w:autoRedefine/>
    <w:qFormat/>
    <w:uiPriority w:val="0"/>
    <w:pPr>
      <w:spacing w:line="240" w:lineRule="auto"/>
    </w:pPr>
    <w:rPr>
      <w:rFonts w:ascii="Arial" w:hAnsi="Arial" w:eastAsia="宋体" w:cs="Times New Roman"/>
      <w:sz w:val="24"/>
    </w:rPr>
  </w:style>
  <w:style w:type="paragraph" w:styleId="3">
    <w:name w:val="footer"/>
    <w:basedOn w:val="1"/>
    <w:qFormat/>
    <w:uiPriority w:val="0"/>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2024-01-22T06:45:00Z</dcterms:created>
  <dc:creator>712</dc:creator>
  <cp:lastModifiedBy>712</cp:lastModifiedBy>
  <dcterms:modified xsi:type="dcterms:W3CDTF">2024-01-22T06:49:00Z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22D8D85013114091BE002D91CF2831EF_11</vt:lpwstr>
  </property>
</Properties>
</file>